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pPr>
      <w:r>
        <w:rPr>
          <w:rFonts w:hint="eastAsia" w:ascii="仿宋_GB2312" w:hAnsi="宋体" w:eastAsia="仿宋_GB2312" w:cs="Times New Roman"/>
          <w:sz w:val="32"/>
          <w:szCs w:val="32"/>
        </w:rPr>
        <w:t>附件2</w:t>
      </w:r>
    </w:p>
    <w:p>
      <w:pPr>
        <w:adjustRightInd w:val="0"/>
        <w:snapToGrid w:val="0"/>
        <w:spacing w:line="570" w:lineRule="exact"/>
        <w:jc w:val="center"/>
        <w:rPr>
          <w:rFonts w:ascii="方正小标宋简体" w:hAnsi="宋体" w:eastAsia="方正小标宋简体" w:cs="Times New Roman"/>
          <w:sz w:val="44"/>
          <w:szCs w:val="44"/>
        </w:rPr>
      </w:pPr>
    </w:p>
    <w:p>
      <w:pPr>
        <w:adjustRightInd w:val="0"/>
        <w:snapToGrid w:val="0"/>
        <w:spacing w:line="570" w:lineRule="exact"/>
        <w:jc w:val="center"/>
        <w:rPr>
          <w:rFonts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rPr>
        <w:t>陈明泉教授简介</w:t>
      </w:r>
    </w:p>
    <w:bookmarkEnd w:id="0"/>
    <w:p>
      <w:pPr>
        <w:adjustRightInd w:val="0"/>
        <w:snapToGrid w:val="0"/>
        <w:spacing w:line="570" w:lineRule="exact"/>
        <w:ind w:firstLine="640" w:firstLineChars="200"/>
        <w:rPr>
          <w:rFonts w:ascii="仿宋_GB2312" w:hAnsi="宋体" w:eastAsia="仿宋_GB2312" w:cs="Times New Roman"/>
          <w:sz w:val="32"/>
          <w:szCs w:val="32"/>
        </w:rPr>
      </w:pP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陈明泉，山东省民盟盟员，教授。</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山东省十大青少年校外科技教育专家，山东省青少年科普专家团成员，山东省工程师协会创新发明研究中心主任，山东发明协会副会长，中国发明协会中小学创造教育分会副会长，中国高校创新创业教育研究中心专家库专家，山东师范大学兼职教授，德州职业技术学院创新创业教育总顾问，荣获第二届“影响济南”科技人物科普贡献奖。2022年7月被山东省科学技术协会，山东省科学技术厅授予《陈明泉创新发明教育科普工作室》称号。</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出版图书《创意与发明》，《中小学发明创造与知识产权》（动画、动漫），《创新思维与发明》。《中小学发明创造与知识产权》是国家知识产权培训中心组织编写的面向中小学生的创新发明与知识产权课程。《创新思维与发明》图书是国家知识产权局组织编写，面向全国中小学的知识产权教育教学图书。《创新思维与发明》《青少年知识产权普及教育丛书（5 册）之一》被科技部评选为2020 年全国优秀科普作品。</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研发了一套提高人的创新发明能力的课程体系，曾在国家知识产权局、教育部教育装备研究与发展中心、中国发明协会、宋庆龄基金会、山东省科协、山东省少科院等单位对老师实施培训。</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自1992年开展发明创造教育，培养出了章丘四中、历城二中、长清实验小学等科技创新教育名校。累计培养发明创造人员20万余名，辅导的中学生获得科技发明比赛省级一等奖以上合计100余项。学生申请专利累计已达10000余项。先后在山东大学、山东师范大学等辅导大学生进行发明创造，在首钢集团培训中心，重汽集团、将军集团等企业开展创造发明与知识产权系列教育培训。同时参与了将军集团专利战略的制定工作。</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自2017年10月开始在山东师范大学为本科生开设《创新思维与创新创业发明创造》选修课，取得了良好的效果。</w:t>
      </w:r>
    </w:p>
    <w:p>
      <w:pPr>
        <w:adjustRightInd w:val="0"/>
        <w:snapToGrid w:val="0"/>
        <w:spacing w:line="57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其教学成果与模式被山东省知识产权局作为知识产权强省建设典型案例（山东）报送国家知识产权局，名称为《山东：线下线上相结合的中小学知识产权普及教育模式》。</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2016年论文《关于在基础教育阶段开展创新人才培养的思考》被评为第四届民盟教育论坛优秀论文。</w:t>
      </w:r>
    </w:p>
    <w:p>
      <w:pPr>
        <w:adjustRightInd w:val="0"/>
        <w:snapToGrid w:val="0"/>
        <w:spacing w:line="57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2017年论文《在大学生中实施创新创业教育的初步探索》，荣获第五届民盟教育论坛优秀论文二等奖。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TY0YzRhMTdiYWVjZmY0Y2Y0MTM1MDQ3MmU2MjgifQ=="/>
  </w:docVars>
  <w:rsids>
    <w:rsidRoot w:val="00000000"/>
    <w:rsid w:val="5D5A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2022-07-22T03:09:35Z</dcterms:created>
  <dc:creator>86177</dc:creator>
  <cp:lastModifiedBy>Super beans</cp:lastModifiedBy>
  <dcterms:modified xsi:type="dcterms:W3CDTF">2022-07-22T03:11:05Z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0D5AFC651A3440249C3F229473CB9D3A</vt:lpwstr>
  </property>
</Properties>
</file>